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Emmanuel Group Service April 5th 2020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Welcome etc</w:t>
        <w:tab/>
        <w:tab/>
        <w:tab/>
        <w:tab/>
        <w:tab/>
        <w:t>Haydon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Opening Prayers</w:t>
        <w:tab/>
        <w:tab/>
        <w:tab/>
        <w:tab/>
        <w:t>Provided by Peter Angus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Songs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Here For You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Hosanna, Hosanna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Glory To You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Confession &amp; Absolution</w:t>
        <w:tab/>
        <w:tab/>
        <w:tab/>
        <w:t>Provided by James Fearnley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Sharing</w:t>
        <w:tab/>
        <w:tab/>
        <w:tab/>
        <w:tab/>
        <w:tab/>
        <w:tab/>
        <w:t>Various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sz w:val="32"/>
          <w:szCs w:val="32"/>
          <w:rtl w:val="0"/>
          <w:lang w:val="en-US"/>
        </w:rPr>
        <w:t>Reading: Matthew 21:1-11</w:t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"https://www.biblegateway.com/passage/?search=Matthew+21%253A1-11&amp;version=NIV"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https://www.biblegateway.com/passage/?search=Matthew+21%3A1-11&amp;version=NIV</w:t>
      </w:r>
      <w:r>
        <w:rPr/>
        <w:fldChar w:fldCharType="end" w:fldLock="0"/>
      </w:r>
      <w:r>
        <w:rPr>
          <w:rStyle w:val="None"/>
          <w:sz w:val="32"/>
          <w:szCs w:val="32"/>
          <w:rtl w:val="0"/>
          <w:lang w:val="en-US"/>
        </w:rPr>
        <w:t xml:space="preserve"> 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Sermon</w:t>
        <w:tab/>
        <w:tab/>
        <w:tab/>
        <w:tab/>
        <w:tab/>
        <w:tab/>
        <w:t>Haydon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Intercessions</w:t>
        <w:tab/>
        <w:tab/>
        <w:tab/>
        <w:tab/>
        <w:tab/>
        <w:t>Provided by Ken Clark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Song: I See the King of Glory</w:t>
        <w:tab/>
        <w:tab/>
        <w:tab/>
        <w:tab/>
        <w:tab/>
        <w:tab/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Creed</w:t>
        <w:tab/>
        <w:tab/>
        <w:tab/>
        <w:tab/>
        <w:tab/>
        <w:tab/>
        <w:t>Provided by James Fearnley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Lord</w:t>
      </w:r>
      <w:r>
        <w:rPr>
          <w:rStyle w:val="None"/>
          <w:sz w:val="32"/>
          <w:szCs w:val="32"/>
          <w:rtl w:val="0"/>
          <w:lang w:val="en-US"/>
        </w:rPr>
        <w:t>’</w:t>
      </w:r>
      <w:r>
        <w:rPr>
          <w:rStyle w:val="None"/>
          <w:sz w:val="32"/>
          <w:szCs w:val="32"/>
          <w:rtl w:val="0"/>
          <w:lang w:val="en-US"/>
        </w:rPr>
        <w:t>s Prayer</w:t>
        <w:tab/>
        <w:tab/>
        <w:tab/>
        <w:tab/>
        <w:tab/>
        <w:t>Haydon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Notices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rStyle w:val="None"/>
          <w:sz w:val="32"/>
          <w:szCs w:val="32"/>
          <w:rtl w:val="0"/>
          <w:lang w:val="en-US"/>
        </w:rPr>
        <w:t>Drivers for Cafe Deliveries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rStyle w:val="None"/>
          <w:sz w:val="32"/>
          <w:szCs w:val="32"/>
          <w:rtl w:val="0"/>
          <w:lang w:val="en-US"/>
        </w:rPr>
        <w:t xml:space="preserve">You can submit prayer requests at </w:t>
      </w:r>
      <w:r>
        <w:rPr>
          <w:rStyle w:val="Hyperlink.1"/>
          <w:sz w:val="32"/>
          <w:szCs w:val="32"/>
        </w:rPr>
        <w:fldChar w:fldCharType="begin" w:fldLock="0"/>
      </w:r>
      <w:r>
        <w:rPr>
          <w:rStyle w:val="Hyperlink.1"/>
          <w:sz w:val="32"/>
          <w:szCs w:val="32"/>
        </w:rPr>
        <w:instrText xml:space="preserve"> HYPERLINK "http://www.emmprayer.co.uk"</w:instrText>
      </w:r>
      <w:r>
        <w:rPr>
          <w:rStyle w:val="Hyperlink.1"/>
          <w:sz w:val="32"/>
          <w:szCs w:val="32"/>
        </w:rPr>
        <w:fldChar w:fldCharType="separate" w:fldLock="0"/>
      </w:r>
      <w:r>
        <w:rPr>
          <w:rStyle w:val="Hyperlink.1"/>
          <w:sz w:val="32"/>
          <w:szCs w:val="32"/>
          <w:rtl w:val="0"/>
          <w:lang w:val="en-US"/>
        </w:rPr>
        <w:t>www.emmprayer.co.uk</w:t>
      </w:r>
      <w:r>
        <w:rPr>
          <w:sz w:val="32"/>
          <w:szCs w:val="32"/>
        </w:rPr>
        <w:fldChar w:fldCharType="end" w:fldLock="0"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rStyle w:val="None"/>
          <w:sz w:val="32"/>
          <w:szCs w:val="32"/>
          <w:rtl w:val="0"/>
          <w:lang w:val="en-US"/>
        </w:rPr>
        <w:t>Give if you</w:t>
      </w:r>
      <w:r>
        <w:rPr>
          <w:rStyle w:val="None"/>
          <w:sz w:val="32"/>
          <w:szCs w:val="32"/>
          <w:rtl w:val="0"/>
          <w:lang w:val="en-US"/>
        </w:rPr>
        <w:t>’</w:t>
      </w:r>
      <w:r>
        <w:rPr>
          <w:rStyle w:val="None"/>
          <w:sz w:val="32"/>
          <w:szCs w:val="32"/>
          <w:rtl w:val="0"/>
          <w:lang w:val="en-US"/>
        </w:rPr>
        <w:t xml:space="preserve">d like to at </w:t>
      </w:r>
      <w:r>
        <w:rPr>
          <w:rStyle w:val="Hyperlink.1"/>
          <w:sz w:val="32"/>
          <w:szCs w:val="32"/>
          <w:rtl w:val="0"/>
          <w:lang w:val="en-US"/>
        </w:rPr>
        <w:t>www.localhttps://localgiving.org/charity/emmanuelgroup/</w:t>
      </w:r>
      <w:r>
        <w:rPr>
          <w:rStyle w:val="None"/>
          <w:sz w:val="32"/>
          <w:szCs w:val="32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rStyle w:val="None"/>
          <w:sz w:val="32"/>
          <w:szCs w:val="32"/>
          <w:rtl w:val="0"/>
          <w:lang w:val="en-US"/>
        </w:rPr>
        <w:t>Birthdays etc</w:t>
        <w:tab/>
        <w:tab/>
      </w: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</w:rPr>
        <w:tab/>
        <w:tab/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Closing Song: From Heaven You Came</w:t>
        <w:tab/>
        <w:tab/>
        <w:tab/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Blessing</w:t>
      </w:r>
    </w:p>
    <w:p>
      <w:pPr>
        <w:pStyle w:val="Body A"/>
        <w:rPr>
          <w:rStyle w:val="None"/>
          <w:sz w:val="32"/>
          <w:szCs w:val="32"/>
        </w:rPr>
      </w:pPr>
    </w:p>
    <w:p>
      <w:pPr>
        <w:pStyle w:val="Body A"/>
        <w:rPr>
          <w:rStyle w:val="None"/>
          <w:sz w:val="32"/>
          <w:szCs w:val="32"/>
        </w:rPr>
      </w:pPr>
      <w:r>
        <w:rPr>
          <w:rStyle w:val="None"/>
          <w:sz w:val="32"/>
          <w:szCs w:val="32"/>
          <w:rtl w:val="0"/>
          <w:lang w:val="en-US"/>
        </w:rPr>
        <w:t>Close</w:t>
      </w:r>
    </w:p>
    <w:p>
      <w:pPr>
        <w:pStyle w:val="Body A"/>
      </w:pPr>
      <w:r>
        <w:rPr>
          <w:rStyle w:val="None"/>
          <w:sz w:val="32"/>
          <w:szCs w:val="32"/>
        </w:rPr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32"/>
      <w:szCs w:val="32"/>
      <w:u w:val="single"/>
    </w:rPr>
  </w:style>
  <w:style w:type="character" w:styleId="Hyperlink.1">
    <w:name w:val="Hyperlink.1"/>
    <w:basedOn w:val="None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