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Ephesians Through Lent 2022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Ephesians 1</w:t>
      </w:r>
    </w:p>
    <w:p>
      <w:pPr>
        <w:pStyle w:val="Body"/>
        <w:jc w:val="center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"https://www.biblegateway.com/passage/?search=Ephesians%201&amp;version=NLT"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https://www.biblegateway.com/passage/?search=Ephesians%201&amp;version=NLT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>As you begin, read the chapter. First read it through on your own, and then, 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in a group, take it in turns to read a verse at a time. When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done that, take a few moments to pray and quietly ask God what particular aspect of it you are meant to take away today.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does the passage say about God?</w:t>
      </w:r>
    </w:p>
    <w:p>
      <w:pPr>
        <w:pStyle w:val="Body"/>
        <w:jc w:val="left"/>
      </w:pPr>
      <w:r>
        <w:rPr>
          <w:rtl w:val="0"/>
          <w:lang w:val="en-US"/>
        </w:rPr>
        <w:t>What does it say about you?</w:t>
      </w:r>
    </w:p>
    <w:p>
      <w:pPr>
        <w:pStyle w:val="Body"/>
        <w:jc w:val="left"/>
      </w:pPr>
      <w:r>
        <w:rPr>
          <w:rtl w:val="0"/>
          <w:lang w:val="en-US"/>
        </w:rPr>
        <w:t>What will you do differently having spent time reading it today?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If this opens up discussion in your group, you might want to spend the time you have together focusing on that before praying for one another and drawing to a close, but if it would help the conversation to flow, here are some questions.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do you think makes the people in Ephesus holy? Is it the same for us today?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Who is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blessed with every spiritual blessing in the heavenly realms because we are united with Christ Jesus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? What do you think these blessings are and what might we do with them?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Spend some time thinking and talking about what security we have if we have been adopted into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family, especially as it was his plan and purpose in advance for us to be adopted.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do you think the inheritance we have from God in Christ is?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do you think v14 tells us about the power of God and about our primary purpose as his people?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In the conclusion of chapter one,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re told that Christ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fills all things everywhere with himself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.  Does this comfort you, make you ask questions about the state of the world today, give you hope for the future or something else?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Before the next session, try and read the whole of Ephesians in one go. It is quite short at only six chapters, but covers a lot of ground and concepts. When read as a whole, the flow of the argument and the encouragement Paul gives to the Church in Ephesus can become more clear, whereas if we take a few verses or a chapter at a time it can seem quite wordy and dense at times and it certainly covers a lot of very important ground quite quickly!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You might find it helpful to watch this overview of Ephesians online: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"https://bibleproject.com/explore/video/ephesians/"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https://bibleproject.com/explore/video/ephesians/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